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CF8" w:rsidRPr="000E7CF8" w:rsidRDefault="000E7CF8" w:rsidP="000E7CF8">
      <w:pPr>
        <w:spacing w:after="0" w:line="403" w:lineRule="atLeast"/>
        <w:jc w:val="center"/>
        <w:outlineLvl w:val="2"/>
        <w:rPr>
          <w:rFonts w:ascii="Times New Roman" w:eastAsia="Times New Roman" w:hAnsi="Times New Roman" w:cs="Times New Roman"/>
          <w:b/>
          <w:bCs/>
          <w:caps/>
          <w:color w:val="000000" w:themeColor="text1"/>
          <w:lang w:eastAsia="hr-HR"/>
        </w:rPr>
      </w:pPr>
      <w:bookmarkStart w:id="0" w:name="_GoBack"/>
      <w:r w:rsidRPr="000E7CF8">
        <w:rPr>
          <w:rFonts w:ascii="Times New Roman" w:eastAsia="Times New Roman" w:hAnsi="Times New Roman" w:cs="Times New Roman"/>
          <w:b/>
          <w:bCs/>
          <w:caps/>
          <w:color w:val="000000" w:themeColor="text1"/>
          <w:lang w:eastAsia="hr-HR"/>
        </w:rPr>
        <w:t>PRAVILNIK </w:t>
      </w:r>
    </w:p>
    <w:p w:rsidR="000E7CF8" w:rsidRPr="000E7CF8" w:rsidRDefault="000E7CF8" w:rsidP="000E7CF8">
      <w:pPr>
        <w:spacing w:after="0" w:line="403" w:lineRule="atLeast"/>
        <w:jc w:val="center"/>
        <w:outlineLvl w:val="2"/>
        <w:rPr>
          <w:rFonts w:ascii="Times New Roman" w:eastAsia="Times New Roman" w:hAnsi="Times New Roman" w:cs="Times New Roman"/>
          <w:b/>
          <w:bCs/>
          <w:caps/>
          <w:color w:val="000000" w:themeColor="text1"/>
          <w:lang w:eastAsia="hr-HR"/>
        </w:rPr>
      </w:pPr>
      <w:r w:rsidRPr="000E7CF8">
        <w:rPr>
          <w:rFonts w:ascii="Times New Roman" w:eastAsia="Times New Roman" w:hAnsi="Times New Roman" w:cs="Times New Roman"/>
          <w:b/>
          <w:bCs/>
          <w:caps/>
          <w:color w:val="000000" w:themeColor="text1"/>
          <w:lang w:eastAsia="hr-HR"/>
        </w:rPr>
        <w:t>O NAČINIMA, POSTUPCIMA I ELEMENTIMA VREDNOVANJA UČENIKA U OSNOVNOJ I SREDNJOJ ŠKOLI</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Pročišćeni tekst</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NN </w:t>
      </w:r>
      <w:hyperlink r:id="rId4" w:history="1">
        <w:r w:rsidRPr="000E7CF8">
          <w:rPr>
            <w:rFonts w:ascii="Times New Roman" w:eastAsia="Times New Roman" w:hAnsi="Times New Roman" w:cs="Times New Roman"/>
            <w:b/>
            <w:bCs/>
            <w:color w:val="000000" w:themeColor="text1"/>
            <w:lang w:eastAsia="hr-HR"/>
          </w:rPr>
          <w:t>112/10</w:t>
        </w:r>
      </w:hyperlink>
      <w:r w:rsidRPr="000E7CF8">
        <w:rPr>
          <w:rFonts w:ascii="Times New Roman" w:eastAsia="Times New Roman" w:hAnsi="Times New Roman" w:cs="Times New Roman"/>
          <w:color w:val="000000" w:themeColor="text1"/>
          <w:lang w:eastAsia="hr-HR"/>
        </w:rPr>
        <w:t>, </w:t>
      </w:r>
      <w:hyperlink r:id="rId5" w:history="1">
        <w:r w:rsidRPr="000E7CF8">
          <w:rPr>
            <w:rFonts w:ascii="Times New Roman" w:eastAsia="Times New Roman" w:hAnsi="Times New Roman" w:cs="Times New Roman"/>
            <w:b/>
            <w:bCs/>
            <w:color w:val="000000" w:themeColor="text1"/>
            <w:lang w:eastAsia="hr-HR"/>
          </w:rPr>
          <w:t>82/19</w:t>
        </w:r>
      </w:hyperlink>
      <w:r w:rsidRPr="000E7CF8">
        <w:rPr>
          <w:rFonts w:ascii="Times New Roman" w:eastAsia="Times New Roman" w:hAnsi="Times New Roman" w:cs="Times New Roman"/>
          <w:color w:val="000000" w:themeColor="text1"/>
          <w:lang w:eastAsia="hr-HR"/>
        </w:rPr>
        <w:t>, </w:t>
      </w:r>
      <w:hyperlink r:id="rId6" w:history="1">
        <w:r w:rsidRPr="000E7CF8">
          <w:rPr>
            <w:rFonts w:ascii="Times New Roman" w:eastAsia="Times New Roman" w:hAnsi="Times New Roman" w:cs="Times New Roman"/>
            <w:b/>
            <w:bCs/>
            <w:color w:val="000000" w:themeColor="text1"/>
            <w:lang w:eastAsia="hr-HR"/>
          </w:rPr>
          <w:t>43/20</w:t>
        </w:r>
      </w:hyperlink>
      <w:r w:rsidRPr="000E7CF8">
        <w:rPr>
          <w:rFonts w:ascii="Times New Roman" w:eastAsia="Times New Roman" w:hAnsi="Times New Roman" w:cs="Times New Roman"/>
          <w:color w:val="000000" w:themeColor="text1"/>
          <w:lang w:eastAsia="hr-HR"/>
        </w:rPr>
        <w:t>, </w:t>
      </w:r>
      <w:hyperlink r:id="rId7" w:history="1">
        <w:r w:rsidRPr="000E7CF8">
          <w:rPr>
            <w:rFonts w:ascii="Times New Roman" w:eastAsia="Times New Roman" w:hAnsi="Times New Roman" w:cs="Times New Roman"/>
            <w:b/>
            <w:bCs/>
            <w:color w:val="000000" w:themeColor="text1"/>
            <w:lang w:eastAsia="hr-HR"/>
          </w:rPr>
          <w:t>100/21</w:t>
        </w:r>
      </w:hyperlink>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1. (NN </w:t>
      </w:r>
      <w:hyperlink r:id="rId8" w:history="1">
        <w:r w:rsidRPr="000E7CF8">
          <w:rPr>
            <w:rFonts w:ascii="Times New Roman" w:eastAsia="Times New Roman" w:hAnsi="Times New Roman" w:cs="Times New Roman"/>
            <w:b/>
            <w:bCs/>
            <w:color w:val="000000" w:themeColor="text1"/>
            <w:lang w:eastAsia="hr-HR"/>
          </w:rPr>
          <w:t>82/19</w:t>
        </w:r>
      </w:hyperlink>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(1) Ovim Pravilnikom utvrđuju se metode, načini,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(2) Izrazi koji se u ovom Pravilniku koriste za osobe u muškome rodu, neutralni su i odnose se na muške i ženske osobe.</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1.a (NN </w:t>
      </w:r>
      <w:hyperlink r:id="rId9" w:history="1">
        <w:r w:rsidRPr="000E7CF8">
          <w:rPr>
            <w:rFonts w:ascii="Times New Roman" w:eastAsia="Times New Roman" w:hAnsi="Times New Roman" w:cs="Times New Roman"/>
            <w:b/>
            <w:bCs/>
            <w:color w:val="000000" w:themeColor="text1"/>
            <w:lang w:eastAsia="hr-HR"/>
          </w:rPr>
          <w:t>43/20</w:t>
        </w:r>
      </w:hyperlink>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(1) U slučaju elementarne nepogode, ratnog stanja ili druge neposredne ugroze stanovništva, ministar nadležan za obrazovanje može drukčije od načina propisanog ovim Pravilnikom odrediti metode, postupke i elemente vrednovanja odgojno-obrazovnih postignuća učenika, prava i obveze učitelja/nastavnika, učenika, razrednika i ravnatelja u provođenju postupaka vrednovanja te prava obveze roditelja/skrbnika.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(2) O pitanjima vezanim uz praćenje i ocjenjivanje učenika u izvanrednim okolnostima iz stavka 1. ovoga članka ministar donosi odluku.</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2. (NN </w:t>
      </w:r>
      <w:hyperlink r:id="rId10" w:history="1">
        <w:r w:rsidRPr="000E7CF8">
          <w:rPr>
            <w:rFonts w:ascii="Times New Roman" w:eastAsia="Times New Roman" w:hAnsi="Times New Roman" w:cs="Times New Roman"/>
            <w:b/>
            <w:bCs/>
            <w:color w:val="000000" w:themeColor="text1"/>
            <w:lang w:eastAsia="hr-HR"/>
          </w:rPr>
          <w:t>82/19</w:t>
        </w:r>
      </w:hyperlink>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Definicije pojmova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w:t>
      </w:r>
      <w:proofErr w:type="spellStart"/>
      <w:r w:rsidRPr="000E7CF8">
        <w:rPr>
          <w:rFonts w:ascii="Times New Roman" w:eastAsia="Times New Roman" w:hAnsi="Times New Roman" w:cs="Times New Roman"/>
          <w:color w:val="000000" w:themeColor="text1"/>
          <w:lang w:eastAsia="hr-HR"/>
        </w:rPr>
        <w:t>samoreguliranog</w:t>
      </w:r>
      <w:proofErr w:type="spellEnd"/>
      <w:r w:rsidRPr="000E7CF8">
        <w:rPr>
          <w:rFonts w:ascii="Times New Roman" w:eastAsia="Times New Roman" w:hAnsi="Times New Roman" w:cs="Times New Roman"/>
          <w:color w:val="000000" w:themeColor="text1"/>
          <w:lang w:eastAsia="hr-HR"/>
        </w:rPr>
        <w:t xml:space="preserve"> pristupa učenju. Vrednovanje naučenog je ocjenjivanje razine postignuća učenika. Vrednovanje za učenje i vrednovanje kao učenje ne rezultiraju ocjenom, nego kvalitativnom povratnom informacijom.</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w:t>
      </w:r>
      <w:proofErr w:type="spellStart"/>
      <w:r w:rsidRPr="000E7CF8">
        <w:rPr>
          <w:rFonts w:ascii="Times New Roman" w:eastAsia="Times New Roman" w:hAnsi="Times New Roman" w:cs="Times New Roman"/>
          <w:color w:val="000000" w:themeColor="text1"/>
          <w:lang w:eastAsia="hr-HR"/>
        </w:rPr>
        <w:t>međupredmetnim</w:t>
      </w:r>
      <w:proofErr w:type="spellEnd"/>
      <w:r w:rsidRPr="000E7CF8">
        <w:rPr>
          <w:rFonts w:ascii="Times New Roman" w:eastAsia="Times New Roman" w:hAnsi="Times New Roman" w:cs="Times New Roman"/>
          <w:color w:val="000000" w:themeColor="text1"/>
          <w:lang w:eastAsia="hr-HR"/>
        </w:rPr>
        <w:t xml:space="preserve"> </w:t>
      </w:r>
      <w:proofErr w:type="spellStart"/>
      <w:r w:rsidRPr="000E7CF8">
        <w:rPr>
          <w:rFonts w:ascii="Times New Roman" w:eastAsia="Times New Roman" w:hAnsi="Times New Roman" w:cs="Times New Roman"/>
          <w:color w:val="000000" w:themeColor="text1"/>
          <w:lang w:eastAsia="hr-HR"/>
        </w:rPr>
        <w:t>kuriklulumima</w:t>
      </w:r>
      <w:proofErr w:type="spellEnd"/>
      <w:r w:rsidRPr="000E7CF8">
        <w:rPr>
          <w:rFonts w:ascii="Times New Roman" w:eastAsia="Times New Roman" w:hAnsi="Times New Roman" w:cs="Times New Roman"/>
          <w:color w:val="000000" w:themeColor="text1"/>
          <w:lang w:eastAsia="hr-HR"/>
        </w:rPr>
        <w:t xml:space="preserve">, nastavnim programima te strukovnim i školskim </w:t>
      </w:r>
      <w:proofErr w:type="spellStart"/>
      <w:r w:rsidRPr="000E7CF8">
        <w:rPr>
          <w:rFonts w:ascii="Times New Roman" w:eastAsia="Times New Roman" w:hAnsi="Times New Roman" w:cs="Times New Roman"/>
          <w:color w:val="000000" w:themeColor="text1"/>
          <w:lang w:eastAsia="hr-HR"/>
        </w:rPr>
        <w:t>kurikulumima</w:t>
      </w:r>
      <w:proofErr w:type="spellEnd"/>
      <w:r w:rsidRPr="000E7CF8">
        <w:rPr>
          <w:rFonts w:ascii="Times New Roman" w:eastAsia="Times New Roman" w:hAnsi="Times New Roman" w:cs="Times New Roman"/>
          <w:color w:val="000000" w:themeColor="text1"/>
          <w:lang w:eastAsia="hr-HR"/>
        </w:rPr>
        <w:t>. Uključuje sva tri pristupa vrednovanju: vrednovanje za učenje, vrednovanje kao učenje i vrednovanje naučenog.</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(3) Provjeravanje je procjena postignute razine ostvarenosti odgojno-obrazovnih ishoda, kompetencija i očekivanja u nastavnome predmetu ili području i drugim oblicima rada u školi tijekom školske godine.</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(4) Ocjenjivanje je pridavanje brojčane ili opisne vrijednosti rezultatima praćenja i provjeravanja učenikovog rada.</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3. (NN </w:t>
      </w:r>
      <w:hyperlink r:id="rId11" w:history="1">
        <w:r w:rsidRPr="000E7CF8">
          <w:rPr>
            <w:rFonts w:ascii="Times New Roman" w:eastAsia="Times New Roman" w:hAnsi="Times New Roman" w:cs="Times New Roman"/>
            <w:b/>
            <w:bCs/>
            <w:color w:val="000000" w:themeColor="text1"/>
            <w:lang w:eastAsia="hr-HR"/>
          </w:rPr>
          <w:t>82/19</w:t>
        </w:r>
      </w:hyperlink>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Metode i elementi vrednovanja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lastRenderedPageBreak/>
        <w:t xml:space="preserve">(1) Metode i elementi vrednovanja postignute razine ostvarenosti odgojno-obrazovnih ishoda, kompetencija i očekivanja proizlaze iz nacionalnoga, predmetnih i </w:t>
      </w:r>
      <w:proofErr w:type="spellStart"/>
      <w:r w:rsidRPr="000E7CF8">
        <w:rPr>
          <w:rFonts w:ascii="Times New Roman" w:eastAsia="Times New Roman" w:hAnsi="Times New Roman" w:cs="Times New Roman"/>
          <w:color w:val="000000" w:themeColor="text1"/>
          <w:lang w:eastAsia="hr-HR"/>
        </w:rPr>
        <w:t>međupredmetnih</w:t>
      </w:r>
      <w:proofErr w:type="spellEnd"/>
      <w:r w:rsidRPr="000E7CF8">
        <w:rPr>
          <w:rFonts w:ascii="Times New Roman" w:eastAsia="Times New Roman" w:hAnsi="Times New Roman" w:cs="Times New Roman"/>
          <w:color w:val="000000" w:themeColor="text1"/>
          <w:lang w:eastAsia="hr-HR"/>
        </w:rPr>
        <w:t xml:space="preserve"> kurikuluma, nastavnih programa, strukovnih kurikuluma, školskoga kurikuluma te ovoga Pravilnika i pravila ponašanja učenika koje donosi škola.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 xml:space="preserve">(2) Postignuća učenika pri izradi uratka, praktičnoga rada, pokusa, izvođenja laboratorijske i druge vježbe, nastupa (umjetničke: glazbene, plesne i likovne škole), vrednuju se različitim metodama u skladu s predmetnim </w:t>
      </w:r>
      <w:proofErr w:type="spellStart"/>
      <w:r w:rsidRPr="000E7CF8">
        <w:rPr>
          <w:rFonts w:ascii="Times New Roman" w:eastAsia="Times New Roman" w:hAnsi="Times New Roman" w:cs="Times New Roman"/>
          <w:color w:val="000000" w:themeColor="text1"/>
          <w:lang w:eastAsia="hr-HR"/>
        </w:rPr>
        <w:t>kurikulumima</w:t>
      </w:r>
      <w:proofErr w:type="spellEnd"/>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(3) Metode i elemente vrednovanja u umjetničkim školama određuju stručna povjerenstva umjetničkih škola. Vrednovanje provodi ispitno povjerenstvo na javnim i internim nastupima te godišnjim ispitima.</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4.</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5. (NN </w:t>
      </w:r>
      <w:hyperlink r:id="rId12" w:history="1">
        <w:r w:rsidRPr="000E7CF8">
          <w:rPr>
            <w:rFonts w:ascii="Times New Roman" w:eastAsia="Times New Roman" w:hAnsi="Times New Roman" w:cs="Times New Roman"/>
            <w:b/>
            <w:bCs/>
            <w:color w:val="000000" w:themeColor="text1"/>
            <w:lang w:eastAsia="hr-HR"/>
          </w:rPr>
          <w:t>82/19</w:t>
        </w:r>
      </w:hyperlink>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Vrednovanje postignute razine ostvarenosti odgojno-obrazovnih ishoda, kompetencija učenika s teškoćama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(1) Kod učenika s teškoćama treba vrednovati njegov odnos prema radu i postavljenim zadacima te odgojnim vrijednostima.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(2) Metode, načine i postupke vrednovanja učenika s teškoćama, koji savladavaju individualne programe i posebne kurikulume uključujući i vladanje, učitelji/nastavnici trebaju primjeriti teškoći i osobnosti učenika.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(3) Vrednovanje valja usmjeriti na poticanje učenika na aktivno sudjelovanje u nastavi i izvannastavnim aktivnostima, razvijati njegovo samopouzdanje i osjećaj napredovanja kako bi kvalitetno iskoristio očuvane sposobnosti i razvio nove.</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(4) Metode, načini i postupci vrednovanja trebaju biti u skladu s preporukama stručnoga tima za pojedino područje, primjereni stupnju i vrsti teškoće te jasni svim sudionicima u procesu vrednovanja.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(6) Ako učenik ima izražene teškoće u glasovno-govornoj komunikaciji, može mu se omogućiti provjeravanje u pisanome obliku u dogovoru s predmetnim učiteljem i stručnim timom škole.</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(7) Ako učenik ima izražene teškoće u pisanoj komunikaciji, učeniku treba omogućiti provjeravanje u usmenome obliku u dogovoru s predmetnim učiteljem i stručnim timom škole.</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6. (NN </w:t>
      </w:r>
      <w:hyperlink r:id="rId13" w:history="1">
        <w:r w:rsidRPr="000E7CF8">
          <w:rPr>
            <w:rFonts w:ascii="Times New Roman" w:eastAsia="Times New Roman" w:hAnsi="Times New Roman" w:cs="Times New Roman"/>
            <w:b/>
            <w:bCs/>
            <w:color w:val="000000" w:themeColor="text1"/>
            <w:lang w:eastAsia="hr-HR"/>
          </w:rPr>
          <w:t>82/19</w:t>
        </w:r>
      </w:hyperlink>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Uvodno ili inicijalno provjeravanje</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(1) Učitelj/nastavnik može na početku nastavne godine – u svrhu uvida u postignutu razinu kompetencija učenika u pojedinome razrednome odjelu i nastavnome predmetu – provesti uvodno ili inicijalno provjeravanje.</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(2) Rezultat inicijalne provjere upisuje se u bilješke o praćenju učenika, ne ocjenjuje se brojčano te služi pravovremenome pružanju kvalitetne individualne informacije učeniku i roditelju.</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7. (NN </w:t>
      </w:r>
      <w:hyperlink r:id="rId14" w:history="1">
        <w:r w:rsidRPr="000E7CF8">
          <w:rPr>
            <w:rFonts w:ascii="Times New Roman" w:eastAsia="Times New Roman" w:hAnsi="Times New Roman" w:cs="Times New Roman"/>
            <w:b/>
            <w:bCs/>
            <w:color w:val="000000" w:themeColor="text1"/>
            <w:lang w:eastAsia="hr-HR"/>
          </w:rPr>
          <w:t>82/19</w:t>
        </w:r>
      </w:hyperlink>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Usmeno provjeravanje</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lastRenderedPageBreak/>
        <w:t>(1) Pod usmenim provjeravanjem podrazumijevaju se svi usmeni oblici provjere postignute razine kompetencija ostvarenosti odgojno-obrazovnih ishoda učenika koji rezultiraju ocjenom. Usmeni se oblici provjere provode kontinuirano tijekom nastavne godine.</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(2) Usmeno provjeravanje i ocjenjivanje učenika može se provoditi na svakom nastavnome satu bez obveze najave i, u pravilu, ne smije trajati dulje od 10 minuta po učeniku.</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(3) U danu kada piše pisanu provjeru, učenik može biti usmeno provjeravan samo iz jednoga nastavnoga predmeta, odnosno iz dva nastavna predmeta ako taj dan nema pisanih provjera. Datum svake usmene provjere mora biti unesen u rubriku bilježaka.</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8. (NN </w:t>
      </w:r>
      <w:hyperlink r:id="rId15" w:history="1">
        <w:r w:rsidRPr="000E7CF8">
          <w:rPr>
            <w:rFonts w:ascii="Times New Roman" w:eastAsia="Times New Roman" w:hAnsi="Times New Roman" w:cs="Times New Roman"/>
            <w:b/>
            <w:bCs/>
            <w:color w:val="000000" w:themeColor="text1"/>
            <w:lang w:eastAsia="hr-HR"/>
          </w:rPr>
          <w:t>82/19</w:t>
        </w:r>
      </w:hyperlink>
      <w:r w:rsidRPr="000E7CF8">
        <w:rPr>
          <w:rFonts w:ascii="Times New Roman" w:eastAsia="Times New Roman" w:hAnsi="Times New Roman" w:cs="Times New Roman"/>
          <w:color w:val="000000" w:themeColor="text1"/>
          <w:lang w:eastAsia="hr-HR"/>
        </w:rPr>
        <w:t>, </w:t>
      </w:r>
      <w:hyperlink r:id="rId16" w:history="1">
        <w:r w:rsidRPr="000E7CF8">
          <w:rPr>
            <w:rFonts w:ascii="Times New Roman" w:eastAsia="Times New Roman" w:hAnsi="Times New Roman" w:cs="Times New Roman"/>
            <w:b/>
            <w:bCs/>
            <w:color w:val="000000" w:themeColor="text1"/>
            <w:lang w:eastAsia="hr-HR"/>
          </w:rPr>
          <w:t>100/21</w:t>
        </w:r>
      </w:hyperlink>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Pisano provjeravanje</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(1) Pod pisanim provjeravanjem podrazumijevaju se svi oblici provjere koji rezultiraju ocjenom učenikovog pisanoga uratka, a provode se kontinuirano tijekom nastavne godine.</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(2) Učitelj/nastavnik je dužan obavijestiti učenike o opsegu sadržaja i odgojno-obrazovnim ishodima koji će se provjeravati i načinu provođenja pisane provjere.</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(3) U jednome danu učenik može pisati samo jednu pisanu provjeru, a u jednome tjednu najviše četiri pisane provjere.</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(4) Učitelj/nastavnik obavezan je najaviti pisanu provjeru najmanje 14dana prije provjere te termin provjere upisati u Razrednu knjigu.</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(5) Iznimno od stavka 4. ovoga članka, pisane provjere koje se provode sa svrhom vrednovanja za učenje ili vrednovanja kao učenje nije potrebno najavljivati.</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9. (NN </w:t>
      </w:r>
      <w:hyperlink r:id="rId17" w:history="1">
        <w:r w:rsidRPr="000E7CF8">
          <w:rPr>
            <w:rFonts w:ascii="Times New Roman" w:eastAsia="Times New Roman" w:hAnsi="Times New Roman" w:cs="Times New Roman"/>
            <w:b/>
            <w:bCs/>
            <w:color w:val="000000" w:themeColor="text1"/>
            <w:lang w:eastAsia="hr-HR"/>
          </w:rPr>
          <w:t>82/19</w:t>
        </w:r>
      </w:hyperlink>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Ponavljanje pisane provjere znanja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(1) Nakon pisane provjere s neočekivanim postignućem učenika, učitelj/nastavnik treba utvrditi uzroke neuspjeha i o njima dati povratnu informaciju učenicima.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(2) U dogovoru s razrednikom i stručnom službom škole predmetni učitelj/nastavnik treba odlučiti o potrebi ponavljanja pisane provjere te primjerenom obliku podrške učenicima za postizanje odgojno-obrazovnih ishoda.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(3) Ponavljanje pisane provjere provodi se u redovnoj nastavi nakon što učitelj/nastavnik utvrdi neuspjeh učenika, odnosno neočekivana postignuća učenika, odnosno kada ocijeni da postignuća učenika nisu dovoljna za nastavak poučavanja i učenja.</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10. (NN </w:t>
      </w:r>
      <w:hyperlink r:id="rId18" w:history="1">
        <w:r w:rsidRPr="000E7CF8">
          <w:rPr>
            <w:rFonts w:ascii="Times New Roman" w:eastAsia="Times New Roman" w:hAnsi="Times New Roman" w:cs="Times New Roman"/>
            <w:b/>
            <w:bCs/>
            <w:color w:val="000000" w:themeColor="text1"/>
            <w:lang w:eastAsia="hr-HR"/>
          </w:rPr>
          <w:t>82/19</w:t>
        </w:r>
      </w:hyperlink>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Brisan.</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11. (NN </w:t>
      </w:r>
      <w:hyperlink r:id="rId19" w:history="1">
        <w:r w:rsidRPr="000E7CF8">
          <w:rPr>
            <w:rFonts w:ascii="Times New Roman" w:eastAsia="Times New Roman" w:hAnsi="Times New Roman" w:cs="Times New Roman"/>
            <w:b/>
            <w:bCs/>
            <w:color w:val="000000" w:themeColor="text1"/>
            <w:lang w:eastAsia="hr-HR"/>
          </w:rPr>
          <w:t>82/19</w:t>
        </w:r>
      </w:hyperlink>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Zaključna ocjena iz nastavnoga predmeta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(2) Zaključna ocjena iz nastavnoga predmeta na kraju nastavne godine ne mora proizlaziti iz aritmetičke sredine upisanih ocjena, osobito ako je učenik pokazao napredak u drugom polugodištu.</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12. (NN </w:t>
      </w:r>
      <w:hyperlink r:id="rId20" w:history="1">
        <w:r w:rsidRPr="000E7CF8">
          <w:rPr>
            <w:rFonts w:ascii="Times New Roman" w:eastAsia="Times New Roman" w:hAnsi="Times New Roman" w:cs="Times New Roman"/>
            <w:b/>
            <w:bCs/>
            <w:color w:val="000000" w:themeColor="text1"/>
            <w:lang w:eastAsia="hr-HR"/>
          </w:rPr>
          <w:t>82/19</w:t>
        </w:r>
      </w:hyperlink>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Prava i obveze učitelja/nastavnika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 xml:space="preserve">(1) Učitelj/nastavnik svakog nastavnoga predmeta je na početku i tijekom nastavne godine dužan upoznati učenike s elementima vrednovanja, odgojno-obrazovnim ishodima, kompetencijama, </w:t>
      </w:r>
      <w:r w:rsidRPr="000E7CF8">
        <w:rPr>
          <w:rFonts w:ascii="Times New Roman" w:eastAsia="Times New Roman" w:hAnsi="Times New Roman" w:cs="Times New Roman"/>
          <w:color w:val="000000" w:themeColor="text1"/>
          <w:lang w:eastAsia="hr-HR"/>
        </w:rPr>
        <w:lastRenderedPageBreak/>
        <w:t>razinom dobar ostvarenosti iz kurikuluma nastavnog predmeta, planiranim metodama vrednovanja te planiranoj učestalosti vrednovanja, a vrednovanje postignuća učenika s teškoćama dužan je uskladiti s preporukama stručnih suradnika.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(4) Učenika iz pojedinoga nastavnoga predmeta ocjenjuje učitelj/nastavnik koji poučava nastavni predmet.</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(5) Učitelj/nastavnik ocjenjuje javno u razrednome odjelu ili odgojno-obrazovnoj skupini osim u iznimnim slučajevima (nastava u bolnici, u kući).</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(6) Učitelj/nastavnik je dužan svaku ocjenu javno priopćiti i obrazložiti učeniku.</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(7) Učitelj/nastavnik je dužan priopćenu ocjenu upisati u imenik u za to odgovarajući odjeljak.</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(8) Ocijenjeni pisani rad te druge vrste radova, učitelj/nastavnik je dužan dati učeniku na uvid i čuvati u školi do kraja školske godine.</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(10) Svi učitelji/nastavnici dužni su planirati termine za individualne informativne razgovore. Termini se javno objavljuju na mrežnim stranicama škole.</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13. (NN </w:t>
      </w:r>
      <w:hyperlink r:id="rId21" w:history="1">
        <w:r w:rsidRPr="000E7CF8">
          <w:rPr>
            <w:rFonts w:ascii="Times New Roman" w:eastAsia="Times New Roman" w:hAnsi="Times New Roman" w:cs="Times New Roman"/>
            <w:b/>
            <w:bCs/>
            <w:color w:val="000000" w:themeColor="text1"/>
            <w:lang w:eastAsia="hr-HR"/>
          </w:rPr>
          <w:t>82/19</w:t>
        </w:r>
      </w:hyperlink>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Prava i obveze učenika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(1) Učenik ima pravo znati elemente vrednovanja, kao i planirane metode, načine i postupke vrednovanja od svakoga učitelja/nastavnika za svaki nastavni predmet.</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(2) Učenik je dužan pridržavati se svih pravila koja se odnose na načine i postupke vrednovanja, te na pravila ponašanja učenika u školi.</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(3) Ukoliko se učenik ne pridržava pravila, učitelj/nastavnik može predložiti određenu pedagošku mjeru razredniku, razrednome vijeću ili učiteljskome/nastavničkome vijeću, koje može donijeti odluku o izricanju pedagoške mjere učeniku.</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14. (NN </w:t>
      </w:r>
      <w:hyperlink r:id="rId22" w:history="1">
        <w:r w:rsidRPr="000E7CF8">
          <w:rPr>
            <w:rFonts w:ascii="Times New Roman" w:eastAsia="Times New Roman" w:hAnsi="Times New Roman" w:cs="Times New Roman"/>
            <w:b/>
            <w:bCs/>
            <w:color w:val="000000" w:themeColor="text1"/>
            <w:lang w:eastAsia="hr-HR"/>
          </w:rPr>
          <w:t>82/19</w:t>
        </w:r>
      </w:hyperlink>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Prava i obveze roditelja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(1) Roditelj ima pravo znati elemente vrednovanja, kao i planirane metode, načine i postupke vrednovanja za svaki nastavni predmet.</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(2) O metodama, načinima i postupcima vrednovanja i ocjenjivanja roditelje informira razrednik na roditeljskim sastancima i individualnim informativnim razgovorima.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(3) Roditelj je dužan redovito dolaziti na roditeljske sastanke i individualne informativne razgovore s razrednikom.</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(4) Roditelj ima pravo uvida u pisane i druge radove i ocjene djeteta na organiziranim individualnim informativnim razgovorima s razrednikom ili predmetnim učiteljem/nastavnikom.</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(5) Roditelj ima pravo izvijestiti ravnatelja ako mu razrednik ili predmetni učitelj/nastavnik odbija dati pravodobne i potrebne obavijesti o uspjehu njegovoga djeteta.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lastRenderedPageBreak/>
        <w:t>(6) Roditelj/i ima pravo na pisane i usmene predstavke (primjedbe, komentare i sugestije) o vrednovanju učenika koje podnose ravnatelju i/ili vijeću roditelja.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(7) U posljednja dva tjedna prije završetka nastavne godine ne organiziraju se roditeljski sastanci i individualni informativni razgovori.</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15. (NN </w:t>
      </w:r>
      <w:hyperlink r:id="rId23" w:history="1">
        <w:r w:rsidRPr="000E7CF8">
          <w:rPr>
            <w:rFonts w:ascii="Times New Roman" w:eastAsia="Times New Roman" w:hAnsi="Times New Roman" w:cs="Times New Roman"/>
            <w:b/>
            <w:bCs/>
            <w:color w:val="000000" w:themeColor="text1"/>
            <w:lang w:eastAsia="hr-HR"/>
          </w:rPr>
          <w:t>82/19</w:t>
        </w:r>
      </w:hyperlink>
      <w:r w:rsidRPr="000E7CF8">
        <w:rPr>
          <w:rFonts w:ascii="Times New Roman" w:eastAsia="Times New Roman" w:hAnsi="Times New Roman" w:cs="Times New Roman"/>
          <w:color w:val="000000" w:themeColor="text1"/>
          <w:lang w:eastAsia="hr-HR"/>
        </w:rPr>
        <w:t>)</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Prava i obveze razrednika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(1) Razrednik je dužan na prvome roditeljskome sastanku informirati roditelje o odredbama ovoga Pravilnika, a na prvome nastavnome satu učenike.</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(2) Raspored i vrijeme roditeljskih sastanaka i individualnih informativnih razgovora planira i donosi razrednik, a termini informativnih razgovora objavljuju se javno na mrežnim stranicama škole.</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(5) Brisan.</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(6) Brisan.</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16.</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Prava i obveze ravnatelja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(1) Ravnatelj škole dužan je na početku školske godine informirati sve učitelje/nastavnike i stručne suradnike o odredbama ovoga Pravilnika.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(2) Ravnatelj i stručna služba škole dužni su tijekom nastavne godine pratiti provođenje ovoga Pravilnika.</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(3) Ravnatelj je dužan razmotriti svaku pisanu predstavku roditelja ili vijeća roditelja koja se odnosi na načine i postupke vrednovanja učenika i pisano odgovoriti najkasnije u roku od 15 dana od dana zaprimanja predstavke.</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17.</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Danom stupanja na snagu ovoga Pravilnika prestaje važiti Pravilnik o načinu praćenja i ocjenjivanja učenika u osnovnoj i srednjoj školi (»Narodne novine«, br. 92/95.).</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18.</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Ovaj Pravilnik stupa na snagu danom objave u »Narodnim novinama«.</w:t>
      </w:r>
    </w:p>
    <w:p w:rsidR="000E7CF8" w:rsidRPr="000E7CF8" w:rsidRDefault="000E7CF8" w:rsidP="000E7CF8">
      <w:pPr>
        <w:spacing w:after="0" w:line="403" w:lineRule="atLeast"/>
        <w:jc w:val="center"/>
        <w:outlineLvl w:val="3"/>
        <w:rPr>
          <w:rFonts w:ascii="Times New Roman" w:eastAsia="Times New Roman" w:hAnsi="Times New Roman" w:cs="Times New Roman"/>
          <w:b/>
          <w:bCs/>
          <w:color w:val="000000" w:themeColor="text1"/>
          <w:lang w:eastAsia="hr-HR"/>
        </w:rPr>
      </w:pPr>
      <w:r w:rsidRPr="000E7CF8">
        <w:rPr>
          <w:rFonts w:ascii="Times New Roman" w:eastAsia="Times New Roman" w:hAnsi="Times New Roman" w:cs="Times New Roman"/>
          <w:b/>
          <w:bCs/>
          <w:color w:val="000000" w:themeColor="text1"/>
          <w:lang w:eastAsia="hr-HR"/>
        </w:rPr>
        <w:t>Prijelazne i završne odredbe iz NN 82/19</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15.</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Ovaj Pravilnik stupa na snagu prvoga dana od dana objave u »Narodnim novinama«.</w:t>
      </w:r>
    </w:p>
    <w:p w:rsidR="000E7CF8" w:rsidRPr="000E7CF8" w:rsidRDefault="000E7CF8" w:rsidP="000E7CF8">
      <w:pPr>
        <w:spacing w:after="0" w:line="403" w:lineRule="atLeast"/>
        <w:jc w:val="center"/>
        <w:outlineLvl w:val="3"/>
        <w:rPr>
          <w:rFonts w:ascii="Times New Roman" w:eastAsia="Times New Roman" w:hAnsi="Times New Roman" w:cs="Times New Roman"/>
          <w:b/>
          <w:bCs/>
          <w:color w:val="000000" w:themeColor="text1"/>
          <w:lang w:eastAsia="hr-HR"/>
        </w:rPr>
      </w:pPr>
      <w:r w:rsidRPr="000E7CF8">
        <w:rPr>
          <w:rFonts w:ascii="Times New Roman" w:eastAsia="Times New Roman" w:hAnsi="Times New Roman" w:cs="Times New Roman"/>
          <w:b/>
          <w:bCs/>
          <w:color w:val="000000" w:themeColor="text1"/>
          <w:lang w:eastAsia="hr-HR"/>
        </w:rPr>
        <w:t>Prijelazne i završne odredbe iz NN 43/20</w:t>
      </w:r>
    </w:p>
    <w:p w:rsidR="000E7CF8" w:rsidRPr="000E7CF8" w:rsidRDefault="000E7CF8" w:rsidP="000E7CF8">
      <w:pPr>
        <w:spacing w:after="135"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2.</w:t>
      </w:r>
    </w:p>
    <w:p w:rsidR="000E7CF8" w:rsidRPr="000E7CF8" w:rsidRDefault="000E7CF8" w:rsidP="000E7CF8">
      <w:pPr>
        <w:spacing w:after="135" w:line="240" w:lineRule="auto"/>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Ovaj Pravilnik stupa na snagu osmoga dana od dana objave u »Narodnim novinama«.</w:t>
      </w:r>
    </w:p>
    <w:p w:rsidR="000E7CF8" w:rsidRPr="000E7CF8" w:rsidRDefault="000E7CF8" w:rsidP="000E7CF8">
      <w:pPr>
        <w:spacing w:after="0" w:line="403" w:lineRule="atLeast"/>
        <w:jc w:val="center"/>
        <w:outlineLvl w:val="3"/>
        <w:rPr>
          <w:rFonts w:ascii="Times New Roman" w:eastAsia="Times New Roman" w:hAnsi="Times New Roman" w:cs="Times New Roman"/>
          <w:b/>
          <w:bCs/>
          <w:color w:val="000000" w:themeColor="text1"/>
          <w:lang w:eastAsia="hr-HR"/>
        </w:rPr>
      </w:pPr>
      <w:r w:rsidRPr="000E7CF8">
        <w:rPr>
          <w:rFonts w:ascii="Times New Roman" w:eastAsia="Times New Roman" w:hAnsi="Times New Roman" w:cs="Times New Roman"/>
          <w:b/>
          <w:bCs/>
          <w:color w:val="000000" w:themeColor="text1"/>
          <w:lang w:eastAsia="hr-HR"/>
        </w:rPr>
        <w:t>Prijelazne i završne odredbe iz NN 100/21</w:t>
      </w:r>
    </w:p>
    <w:p w:rsidR="000E7CF8" w:rsidRPr="000E7CF8" w:rsidRDefault="000E7CF8" w:rsidP="000E7CF8">
      <w:pPr>
        <w:spacing w:after="0" w:line="240" w:lineRule="auto"/>
        <w:jc w:val="center"/>
        <w:rPr>
          <w:rFonts w:ascii="Times New Roman" w:eastAsia="Times New Roman" w:hAnsi="Times New Roman" w:cs="Times New Roman"/>
          <w:color w:val="000000" w:themeColor="text1"/>
          <w:lang w:eastAsia="hr-HR"/>
        </w:rPr>
      </w:pPr>
      <w:r w:rsidRPr="000E7CF8">
        <w:rPr>
          <w:rFonts w:ascii="Times New Roman" w:eastAsia="Times New Roman" w:hAnsi="Times New Roman" w:cs="Times New Roman"/>
          <w:color w:val="000000" w:themeColor="text1"/>
          <w:lang w:eastAsia="hr-HR"/>
        </w:rPr>
        <w:t>Članak 2.</w:t>
      </w:r>
    </w:p>
    <w:bookmarkEnd w:id="0"/>
    <w:p w:rsidR="007D1146" w:rsidRPr="000E7CF8" w:rsidRDefault="000E7CF8" w:rsidP="000E7CF8">
      <w:pPr>
        <w:spacing w:after="135" w:line="240" w:lineRule="auto"/>
        <w:rPr>
          <w:rFonts w:ascii="Times New Roman" w:eastAsia="Times New Roman" w:hAnsi="Times New Roman" w:cs="Times New Roman"/>
          <w:color w:val="414145"/>
          <w:lang w:eastAsia="hr-HR"/>
        </w:rPr>
      </w:pPr>
      <w:r w:rsidRPr="000E7CF8">
        <w:rPr>
          <w:rFonts w:ascii="Times New Roman" w:eastAsia="Times New Roman" w:hAnsi="Times New Roman" w:cs="Times New Roman"/>
          <w:color w:val="414145"/>
          <w:lang w:eastAsia="hr-HR"/>
        </w:rPr>
        <w:lastRenderedPageBreak/>
        <w:t>Ovaj Pravilnik stupa na snagu osmoga dana od dana objave u »Narodnim novinama«.</w:t>
      </w:r>
    </w:p>
    <w:sectPr w:rsidR="007D1146" w:rsidRPr="000E7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F8"/>
    <w:rsid w:val="000E7CF8"/>
    <w:rsid w:val="007D11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01D6"/>
  <w15:chartTrackingRefBased/>
  <w15:docId w15:val="{5F30078F-A7D9-4CF6-80A2-F704BD0D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4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0093" TargetMode="External"/><Relationship Id="rId13" Type="http://schemas.openxmlformats.org/officeDocument/2006/relationships/hyperlink" Target="https://www.zakon.hr/cms.htm?id=40093" TargetMode="External"/><Relationship Id="rId18" Type="http://schemas.openxmlformats.org/officeDocument/2006/relationships/hyperlink" Target="https://www.zakon.hr/cms.htm?id=40093" TargetMode="External"/><Relationship Id="rId3" Type="http://schemas.openxmlformats.org/officeDocument/2006/relationships/webSettings" Target="webSettings.xml"/><Relationship Id="rId21" Type="http://schemas.openxmlformats.org/officeDocument/2006/relationships/hyperlink" Target="https://www.zakon.hr/cms.htm?id=40093" TargetMode="External"/><Relationship Id="rId7" Type="http://schemas.openxmlformats.org/officeDocument/2006/relationships/hyperlink" Target="https://www.zakon.hr/cms.htm?id=49867" TargetMode="External"/><Relationship Id="rId12" Type="http://schemas.openxmlformats.org/officeDocument/2006/relationships/hyperlink" Target="https://www.zakon.hr/cms.htm?id=40093" TargetMode="External"/><Relationship Id="rId17" Type="http://schemas.openxmlformats.org/officeDocument/2006/relationships/hyperlink" Target="https://www.zakon.hr/cms.htm?id=4009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zakon.hr/cms.htm?id=49867" TargetMode="External"/><Relationship Id="rId20" Type="http://schemas.openxmlformats.org/officeDocument/2006/relationships/hyperlink" Target="https://www.zakon.hr/cms.htm?id=40093" TargetMode="External"/><Relationship Id="rId1" Type="http://schemas.openxmlformats.org/officeDocument/2006/relationships/styles" Target="styles.xml"/><Relationship Id="rId6" Type="http://schemas.openxmlformats.org/officeDocument/2006/relationships/hyperlink" Target="https://www.zakon.hr/cms.htm?id=44175" TargetMode="External"/><Relationship Id="rId11" Type="http://schemas.openxmlformats.org/officeDocument/2006/relationships/hyperlink" Target="https://www.zakon.hr/cms.htm?id=40093" TargetMode="External"/><Relationship Id="rId24" Type="http://schemas.openxmlformats.org/officeDocument/2006/relationships/fontTable" Target="fontTable.xml"/><Relationship Id="rId5" Type="http://schemas.openxmlformats.org/officeDocument/2006/relationships/hyperlink" Target="https://www.zakon.hr/cms.htm?id=40093" TargetMode="External"/><Relationship Id="rId15" Type="http://schemas.openxmlformats.org/officeDocument/2006/relationships/hyperlink" Target="https://www.zakon.hr/cms.htm?id=40093" TargetMode="External"/><Relationship Id="rId23" Type="http://schemas.openxmlformats.org/officeDocument/2006/relationships/hyperlink" Target="https://www.zakon.hr/cms.htm?id=40093" TargetMode="External"/><Relationship Id="rId10" Type="http://schemas.openxmlformats.org/officeDocument/2006/relationships/hyperlink" Target="https://www.zakon.hr/cms.htm?id=40093" TargetMode="External"/><Relationship Id="rId19" Type="http://schemas.openxmlformats.org/officeDocument/2006/relationships/hyperlink" Target="https://www.zakon.hr/cms.htm?id=40093" TargetMode="External"/><Relationship Id="rId4" Type="http://schemas.openxmlformats.org/officeDocument/2006/relationships/hyperlink" Target="https://www.zakon.hr/cms.htm?id=2645" TargetMode="External"/><Relationship Id="rId9" Type="http://schemas.openxmlformats.org/officeDocument/2006/relationships/hyperlink" Target="https://www.zakon.hr/cms.htm?id=44175" TargetMode="External"/><Relationship Id="rId14" Type="http://schemas.openxmlformats.org/officeDocument/2006/relationships/hyperlink" Target="https://www.zakon.hr/cms.htm?id=40093" TargetMode="External"/><Relationship Id="rId22" Type="http://schemas.openxmlformats.org/officeDocument/2006/relationships/hyperlink" Target="https://www.zakon.hr/cms.htm?id=4009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2344</Words>
  <Characters>13366</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2023-07-06T18:39:00Z</dcterms:created>
  <dcterms:modified xsi:type="dcterms:W3CDTF">2023-07-06T18:42:00Z</dcterms:modified>
</cp:coreProperties>
</file>